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4154B" w14:textId="1B7BB678" w:rsidR="003C7461" w:rsidRPr="0068278F" w:rsidRDefault="003C7461" w:rsidP="00C95282">
      <w:pPr>
        <w:spacing w:line="240" w:lineRule="auto"/>
        <w:ind w:right="1019"/>
        <w:jc w:val="center"/>
        <w:rPr>
          <w:rFonts w:ascii="Century Gothic" w:hAnsi="Century Gothic"/>
          <w:b/>
          <w:sz w:val="32"/>
          <w:szCs w:val="32"/>
          <w:u w:val="single"/>
        </w:rPr>
      </w:pPr>
      <w:r w:rsidRPr="0068278F">
        <w:rPr>
          <w:rFonts w:ascii="Century Gothic" w:hAnsi="Century Gothic"/>
          <w:b/>
          <w:sz w:val="32"/>
          <w:szCs w:val="32"/>
          <w:u w:val="single"/>
        </w:rPr>
        <w:t>MACRO</w:t>
      </w:r>
      <w:r w:rsidR="003023F2" w:rsidRPr="0068278F">
        <w:rPr>
          <w:rFonts w:ascii="Century Gothic" w:hAnsi="Century Gothic"/>
          <w:b/>
          <w:sz w:val="32"/>
          <w:szCs w:val="32"/>
          <w:u w:val="single"/>
        </w:rPr>
        <w:t>-</w:t>
      </w:r>
      <w:r w:rsidRPr="0068278F">
        <w:rPr>
          <w:rFonts w:ascii="Century Gothic" w:hAnsi="Century Gothic"/>
          <w:b/>
          <w:sz w:val="32"/>
          <w:szCs w:val="32"/>
          <w:u w:val="single"/>
        </w:rPr>
        <w:t>ECONOMIC DEVELOPMENTS AND FISCAL PROSPECTS FOR FY 2023/24-2024-25</w:t>
      </w:r>
    </w:p>
    <w:p w14:paraId="2209B531" w14:textId="77777777" w:rsidR="0068278F" w:rsidRDefault="0068278F" w:rsidP="0068278F">
      <w:pPr>
        <w:pStyle w:val="ListParagraph"/>
        <w:spacing w:line="240" w:lineRule="auto"/>
        <w:ind w:left="705" w:right="172" w:firstLine="0"/>
        <w:rPr>
          <w:rFonts w:ascii="Century Gothic" w:hAnsi="Century Gothic"/>
          <w:b/>
          <w:szCs w:val="24"/>
        </w:rPr>
      </w:pPr>
    </w:p>
    <w:p w14:paraId="6C61BDB4" w14:textId="77777777" w:rsidR="003C7461" w:rsidRPr="0068278F" w:rsidRDefault="003C7461" w:rsidP="00C95282">
      <w:pPr>
        <w:pStyle w:val="ListParagraph"/>
        <w:numPr>
          <w:ilvl w:val="0"/>
          <w:numId w:val="1"/>
        </w:numPr>
        <w:spacing w:line="240" w:lineRule="auto"/>
        <w:ind w:right="172"/>
        <w:rPr>
          <w:rFonts w:ascii="Century Gothic" w:hAnsi="Century Gothic"/>
          <w:b/>
          <w:szCs w:val="24"/>
        </w:rPr>
      </w:pPr>
      <w:r w:rsidRPr="0068278F">
        <w:rPr>
          <w:rFonts w:ascii="Century Gothic" w:hAnsi="Century Gothic"/>
          <w:b/>
          <w:szCs w:val="24"/>
        </w:rPr>
        <w:t>Economic Growth</w:t>
      </w:r>
    </w:p>
    <w:p w14:paraId="7CB78BF6" w14:textId="77777777" w:rsidR="002B22B2" w:rsidRPr="0068278F" w:rsidRDefault="002B22B2" w:rsidP="00C95282">
      <w:pPr>
        <w:spacing w:line="240" w:lineRule="auto"/>
        <w:ind w:left="-5" w:right="172"/>
        <w:rPr>
          <w:rFonts w:ascii="Century Gothic" w:hAnsi="Century Gothic"/>
          <w:szCs w:val="24"/>
        </w:rPr>
      </w:pPr>
      <w:r w:rsidRPr="0068278F">
        <w:rPr>
          <w:rFonts w:ascii="Century Gothic" w:hAnsi="Century Gothic"/>
          <w:szCs w:val="24"/>
        </w:rPr>
        <w:t>Economic activity remained on a recovery path in the first half of the FY 2023/24, partly supported by continued imple</w:t>
      </w:r>
      <w:r w:rsidR="00287FD8" w:rsidRPr="0068278F">
        <w:rPr>
          <w:rFonts w:ascii="Century Gothic" w:hAnsi="Century Gothic"/>
          <w:szCs w:val="24"/>
        </w:rPr>
        <w:t>mentation of growth supportive G</w:t>
      </w:r>
      <w:r w:rsidRPr="0068278F">
        <w:rPr>
          <w:rFonts w:ascii="Century Gothic" w:hAnsi="Century Gothic"/>
          <w:szCs w:val="24"/>
        </w:rPr>
        <w:t xml:space="preserve">overnment programs and increase in private sector activity. Some of the Government programs include the Parish Development Model, Emyooga, provision of affordable financing through Uganda Development Bank, among others. Subsequently, the economy registered GDP growth of 5.3% in the first quarter of FY 2023/24. The key growth drivers were higher production in the industry sector, growth in agriculture, forestry and fishing sector, modest growth in services as well as increase in household consumption, investments, and exports.  </w:t>
      </w:r>
    </w:p>
    <w:p w14:paraId="28815A06" w14:textId="77777777" w:rsidR="00353FA1" w:rsidRPr="0068278F" w:rsidRDefault="00353FA1" w:rsidP="00C95282">
      <w:pPr>
        <w:spacing w:line="240" w:lineRule="auto"/>
        <w:ind w:left="-5" w:right="172"/>
        <w:rPr>
          <w:rFonts w:ascii="Century Gothic" w:hAnsi="Century Gothic"/>
          <w:szCs w:val="24"/>
        </w:rPr>
      </w:pPr>
      <w:r w:rsidRPr="0068278F">
        <w:rPr>
          <w:rFonts w:ascii="Century Gothic" w:hAnsi="Century Gothic"/>
          <w:szCs w:val="24"/>
        </w:rPr>
        <w:t xml:space="preserve">Going forward, economic activity is projected to continue </w:t>
      </w:r>
      <w:r w:rsidR="00287FD8" w:rsidRPr="0068278F">
        <w:rPr>
          <w:rFonts w:ascii="Century Gothic" w:hAnsi="Century Gothic"/>
          <w:szCs w:val="24"/>
        </w:rPr>
        <w:t xml:space="preserve">on </w:t>
      </w:r>
      <w:r w:rsidRPr="0068278F">
        <w:rPr>
          <w:rFonts w:ascii="Century Gothic" w:hAnsi="Century Gothic"/>
          <w:szCs w:val="24"/>
        </w:rPr>
        <w:t xml:space="preserve">an upward trend within the second half of the </w:t>
      </w:r>
      <w:r w:rsidR="00BA6B46" w:rsidRPr="0068278F">
        <w:rPr>
          <w:rFonts w:ascii="Century Gothic" w:hAnsi="Century Gothic"/>
          <w:szCs w:val="24"/>
        </w:rPr>
        <w:t>f</w:t>
      </w:r>
      <w:r w:rsidRPr="0068278F">
        <w:rPr>
          <w:rFonts w:ascii="Century Gothic" w:hAnsi="Century Gothic"/>
          <w:szCs w:val="24"/>
        </w:rPr>
        <w:t xml:space="preserve">inancial </w:t>
      </w:r>
      <w:r w:rsidR="00BA6B46" w:rsidRPr="0068278F">
        <w:rPr>
          <w:rFonts w:ascii="Century Gothic" w:hAnsi="Century Gothic"/>
          <w:szCs w:val="24"/>
        </w:rPr>
        <w:t>y</w:t>
      </w:r>
      <w:r w:rsidRPr="0068278F">
        <w:rPr>
          <w:rFonts w:ascii="Century Gothic" w:hAnsi="Century Gothic"/>
          <w:szCs w:val="24"/>
        </w:rPr>
        <w:t>ear and register overall GDP growth of 6.0% for the FY 2023/24. This is on account of efficient implement</w:t>
      </w:r>
      <w:r w:rsidR="00287FD8" w:rsidRPr="0068278F">
        <w:rPr>
          <w:rFonts w:ascii="Century Gothic" w:hAnsi="Century Gothic"/>
          <w:szCs w:val="24"/>
        </w:rPr>
        <w:t>ation of the growth supportive G</w:t>
      </w:r>
      <w:r w:rsidRPr="0068278F">
        <w:rPr>
          <w:rFonts w:ascii="Century Gothic" w:hAnsi="Century Gothic"/>
          <w:szCs w:val="24"/>
        </w:rPr>
        <w:t>overnment programs and infrastructure</w:t>
      </w:r>
      <w:r w:rsidR="00287FD8" w:rsidRPr="0068278F">
        <w:rPr>
          <w:rFonts w:ascii="Century Gothic" w:hAnsi="Century Gothic"/>
          <w:szCs w:val="24"/>
        </w:rPr>
        <w:t xml:space="preserve"> developments</w:t>
      </w:r>
      <w:r w:rsidRPr="0068278F">
        <w:rPr>
          <w:rFonts w:ascii="Century Gothic" w:hAnsi="Century Gothic"/>
          <w:szCs w:val="24"/>
        </w:rPr>
        <w:t xml:space="preserve">; increase in investments especially within the oil and gas sector; higher export volumes mainly supported by continued increase </w:t>
      </w:r>
      <w:r w:rsidR="00287FD8" w:rsidRPr="0068278F">
        <w:rPr>
          <w:rFonts w:ascii="Century Gothic" w:hAnsi="Century Gothic"/>
          <w:szCs w:val="24"/>
        </w:rPr>
        <w:t xml:space="preserve">in </w:t>
      </w:r>
      <w:r w:rsidRPr="0068278F">
        <w:rPr>
          <w:rFonts w:ascii="Century Gothic" w:hAnsi="Century Gothic"/>
          <w:szCs w:val="24"/>
        </w:rPr>
        <w:t xml:space="preserve">regional trade; surge in household consumption and investments </w:t>
      </w:r>
      <w:r w:rsidR="00287FD8" w:rsidRPr="0068278F">
        <w:rPr>
          <w:rFonts w:ascii="Century Gothic" w:hAnsi="Century Gothic"/>
          <w:szCs w:val="24"/>
        </w:rPr>
        <w:t>among others</w:t>
      </w:r>
      <w:r w:rsidRPr="0068278F">
        <w:rPr>
          <w:rFonts w:ascii="Century Gothic" w:hAnsi="Century Gothic"/>
          <w:szCs w:val="24"/>
        </w:rPr>
        <w:t xml:space="preserve">.  </w:t>
      </w:r>
    </w:p>
    <w:p w14:paraId="05676330" w14:textId="77777777" w:rsidR="0002709F" w:rsidRPr="0068278F" w:rsidRDefault="003C7461" w:rsidP="00C95282">
      <w:pPr>
        <w:pStyle w:val="ListParagraph"/>
        <w:numPr>
          <w:ilvl w:val="0"/>
          <w:numId w:val="1"/>
        </w:numPr>
        <w:spacing w:line="240" w:lineRule="auto"/>
        <w:ind w:right="172"/>
        <w:rPr>
          <w:rFonts w:ascii="Century Gothic" w:hAnsi="Century Gothic"/>
          <w:b/>
          <w:szCs w:val="24"/>
        </w:rPr>
      </w:pPr>
      <w:r w:rsidRPr="0068278F">
        <w:rPr>
          <w:rFonts w:ascii="Century Gothic" w:hAnsi="Century Gothic"/>
          <w:b/>
          <w:szCs w:val="24"/>
        </w:rPr>
        <w:t>Inflation</w:t>
      </w:r>
    </w:p>
    <w:p w14:paraId="6A54D518" w14:textId="77777777" w:rsidR="003B129D" w:rsidRPr="0068278F" w:rsidRDefault="0002709F" w:rsidP="00C95282">
      <w:pPr>
        <w:spacing w:line="240" w:lineRule="auto"/>
        <w:ind w:left="-15" w:right="172" w:firstLine="0"/>
        <w:rPr>
          <w:rFonts w:ascii="Century Gothic" w:hAnsi="Century Gothic"/>
          <w:szCs w:val="24"/>
        </w:rPr>
      </w:pPr>
      <w:r w:rsidRPr="0068278F">
        <w:rPr>
          <w:rFonts w:ascii="Century Gothic" w:hAnsi="Century Gothic"/>
          <w:szCs w:val="24"/>
        </w:rPr>
        <w:t xml:space="preserve">Annual headline inflation was generally on a downward trend during the first half of FY2023/24, reducing from 3.9% in July 2023 to 2.6% in December 2023. This resulted in a six-month average of 2.9% compared to 8.0% registered </w:t>
      </w:r>
      <w:r w:rsidR="00BA6B46" w:rsidRPr="0068278F">
        <w:rPr>
          <w:rFonts w:ascii="Century Gothic" w:hAnsi="Century Gothic"/>
          <w:szCs w:val="24"/>
        </w:rPr>
        <w:t xml:space="preserve">in the second half of FY2022/23 </w:t>
      </w:r>
      <w:r w:rsidR="00287FD8" w:rsidRPr="0068278F">
        <w:rPr>
          <w:rFonts w:ascii="Century Gothic" w:hAnsi="Century Gothic"/>
          <w:szCs w:val="24"/>
        </w:rPr>
        <w:t xml:space="preserve">due to </w:t>
      </w:r>
      <w:r w:rsidR="00BA6B46" w:rsidRPr="0068278F">
        <w:rPr>
          <w:rFonts w:ascii="Century Gothic" w:hAnsi="Century Gothic"/>
          <w:szCs w:val="24"/>
        </w:rPr>
        <w:t>increased</w:t>
      </w:r>
      <w:r w:rsidR="00287FD8" w:rsidRPr="0068278F">
        <w:rPr>
          <w:rFonts w:ascii="Century Gothic" w:hAnsi="Century Gothic"/>
          <w:szCs w:val="24"/>
        </w:rPr>
        <w:t xml:space="preserve"> food supply and</w:t>
      </w:r>
      <w:r w:rsidRPr="0068278F">
        <w:rPr>
          <w:rFonts w:ascii="Century Gothic" w:hAnsi="Century Gothic"/>
          <w:szCs w:val="24"/>
        </w:rPr>
        <w:t xml:space="preserve"> </w:t>
      </w:r>
      <w:r w:rsidR="00BA6B46" w:rsidRPr="0068278F">
        <w:rPr>
          <w:rFonts w:ascii="Century Gothic" w:hAnsi="Century Gothic"/>
          <w:szCs w:val="24"/>
        </w:rPr>
        <w:t xml:space="preserve">appropriate </w:t>
      </w:r>
      <w:r w:rsidR="003B129D" w:rsidRPr="0068278F">
        <w:rPr>
          <w:rFonts w:ascii="Century Gothic" w:hAnsi="Century Gothic"/>
          <w:szCs w:val="24"/>
        </w:rPr>
        <w:t xml:space="preserve">monetary policy. As global prices and inflationary pressures continue to subside, domestic inflation is expected to remain within the </w:t>
      </w:r>
      <w:r w:rsidR="003D04C2" w:rsidRPr="0068278F">
        <w:rPr>
          <w:rFonts w:ascii="Century Gothic" w:hAnsi="Century Gothic"/>
          <w:szCs w:val="24"/>
        </w:rPr>
        <w:t xml:space="preserve">medium term target of </w:t>
      </w:r>
      <w:r w:rsidR="003B129D" w:rsidRPr="0068278F">
        <w:rPr>
          <w:rFonts w:ascii="Century Gothic" w:hAnsi="Century Gothic"/>
          <w:szCs w:val="24"/>
        </w:rPr>
        <w:t xml:space="preserve">5%.  </w:t>
      </w:r>
    </w:p>
    <w:p w14:paraId="537FDD73" w14:textId="77777777" w:rsidR="00E548A1" w:rsidRPr="0068278F" w:rsidRDefault="007C6342" w:rsidP="00C95282">
      <w:pPr>
        <w:pStyle w:val="ListParagraph"/>
        <w:numPr>
          <w:ilvl w:val="0"/>
          <w:numId w:val="1"/>
        </w:numPr>
        <w:spacing w:line="240" w:lineRule="auto"/>
        <w:rPr>
          <w:rFonts w:ascii="Century Gothic" w:hAnsi="Century Gothic"/>
          <w:b/>
        </w:rPr>
      </w:pPr>
      <w:r w:rsidRPr="0068278F">
        <w:rPr>
          <w:rFonts w:ascii="Century Gothic" w:hAnsi="Century Gothic"/>
          <w:b/>
        </w:rPr>
        <w:t>Interest rates</w:t>
      </w:r>
    </w:p>
    <w:p w14:paraId="6B5F558C" w14:textId="77777777" w:rsidR="0002709F" w:rsidRDefault="008C4C41" w:rsidP="00C95282">
      <w:pPr>
        <w:spacing w:line="240" w:lineRule="auto"/>
        <w:ind w:left="-4" w:right="173"/>
        <w:rPr>
          <w:rFonts w:ascii="Century Gothic" w:hAnsi="Century Gothic"/>
          <w:szCs w:val="24"/>
        </w:rPr>
      </w:pPr>
      <w:r w:rsidRPr="0068278F">
        <w:rPr>
          <w:rFonts w:ascii="Century Gothic" w:hAnsi="Century Gothic"/>
          <w:szCs w:val="24"/>
        </w:rPr>
        <w:t>The</w:t>
      </w:r>
      <w:r w:rsidR="008C26ED" w:rsidRPr="0068278F">
        <w:rPr>
          <w:rFonts w:ascii="Century Gothic" w:hAnsi="Century Gothic"/>
          <w:szCs w:val="24"/>
        </w:rPr>
        <w:t xml:space="preserve"> Central Bank Rate </w:t>
      </w:r>
      <w:r w:rsidR="0002709F" w:rsidRPr="0068278F">
        <w:rPr>
          <w:rFonts w:ascii="Century Gothic" w:hAnsi="Century Gothic"/>
          <w:szCs w:val="24"/>
        </w:rPr>
        <w:t xml:space="preserve">(CBR) was reduced from 10% in July 2023 to 9.5% in August 2023 and thereafter remained unchanged </w:t>
      </w:r>
      <w:r w:rsidR="00C92598" w:rsidRPr="0068278F">
        <w:rPr>
          <w:rFonts w:ascii="Century Gothic" w:hAnsi="Century Gothic"/>
          <w:szCs w:val="24"/>
        </w:rPr>
        <w:t>up to February, 2024</w:t>
      </w:r>
      <w:r w:rsidR="0002709F" w:rsidRPr="0068278F">
        <w:rPr>
          <w:rFonts w:ascii="Century Gothic" w:hAnsi="Century Gothic"/>
          <w:szCs w:val="24"/>
        </w:rPr>
        <w:t xml:space="preserve">. The reduction was also occasioned by the need to stimulate aggregate demand and support economic growth prospects, especially as inflation had declined much faster. </w:t>
      </w:r>
      <w:r w:rsidR="00892D30" w:rsidRPr="0068278F">
        <w:rPr>
          <w:rFonts w:ascii="Century Gothic" w:hAnsi="Century Gothic"/>
          <w:szCs w:val="24"/>
        </w:rPr>
        <w:t>Between July and December 2023, the stock of Private Sector Credit (PSC) grew by 6.3% to a total of Shs 21,703.1 billion. The growth was partly due to lower lending rates that averaged 17.95% in the first half of FY 2023/24 compared to 19.22% recorded in the second half of FY 2022/23.</w:t>
      </w:r>
    </w:p>
    <w:p w14:paraId="6978D065" w14:textId="77777777" w:rsidR="0068278F" w:rsidRPr="0068278F" w:rsidRDefault="0068278F" w:rsidP="00C95282">
      <w:pPr>
        <w:spacing w:line="240" w:lineRule="auto"/>
        <w:ind w:left="-4" w:right="173"/>
        <w:rPr>
          <w:rFonts w:ascii="Century Gothic" w:hAnsi="Century Gothic"/>
          <w:b/>
        </w:rPr>
      </w:pPr>
    </w:p>
    <w:p w14:paraId="4361D4B8" w14:textId="77777777" w:rsidR="007C6342" w:rsidRPr="0068278F" w:rsidRDefault="007C6342" w:rsidP="00C95282">
      <w:pPr>
        <w:pStyle w:val="ListParagraph"/>
        <w:numPr>
          <w:ilvl w:val="0"/>
          <w:numId w:val="1"/>
        </w:numPr>
        <w:spacing w:after="246" w:line="240" w:lineRule="auto"/>
        <w:ind w:right="172"/>
        <w:rPr>
          <w:rFonts w:ascii="Century Gothic" w:hAnsi="Century Gothic"/>
          <w:b/>
          <w:szCs w:val="24"/>
        </w:rPr>
      </w:pPr>
      <w:r w:rsidRPr="0068278F">
        <w:rPr>
          <w:rFonts w:ascii="Century Gothic" w:hAnsi="Century Gothic"/>
          <w:b/>
          <w:szCs w:val="24"/>
        </w:rPr>
        <w:lastRenderedPageBreak/>
        <w:t>Exchange Rates</w:t>
      </w:r>
    </w:p>
    <w:p w14:paraId="1B2A703C" w14:textId="77777777" w:rsidR="00D44F44" w:rsidRPr="0068278F" w:rsidRDefault="007C35E6" w:rsidP="00C95282">
      <w:pPr>
        <w:spacing w:after="246" w:line="240" w:lineRule="auto"/>
        <w:ind w:left="-5" w:right="172"/>
        <w:rPr>
          <w:rFonts w:ascii="Century Gothic" w:hAnsi="Century Gothic"/>
        </w:rPr>
      </w:pPr>
      <w:r w:rsidRPr="0068278F">
        <w:rPr>
          <w:rFonts w:ascii="Century Gothic" w:hAnsi="Century Gothic"/>
        </w:rPr>
        <w:t xml:space="preserve">During the first half of Fiscal Year 2023/24, the Uganda Shilling experienced a depreciation against the US dollar, moving from a mid-rate of Shs. 3,661.2 per US$ in July 2023 to Shs. 3,780.7 per US$ by December 2023, marking a 3.3% depreciation. </w:t>
      </w:r>
    </w:p>
    <w:p w14:paraId="46207C06" w14:textId="77777777" w:rsidR="00125FAF" w:rsidRPr="0068278F" w:rsidRDefault="007C35E6" w:rsidP="00C95282">
      <w:pPr>
        <w:spacing w:after="246" w:line="240" w:lineRule="auto"/>
        <w:ind w:left="-5" w:right="172"/>
        <w:rPr>
          <w:rFonts w:ascii="Century Gothic" w:hAnsi="Century Gothic"/>
        </w:rPr>
      </w:pPr>
      <w:r w:rsidRPr="0068278F">
        <w:rPr>
          <w:rFonts w:ascii="Century Gothic" w:hAnsi="Century Gothic"/>
        </w:rPr>
        <w:t xml:space="preserve">Compared to other East African Community (EAC) Partner States, the Shilling's exchange rate movements were relatively stable, averaging </w:t>
      </w:r>
      <w:r w:rsidR="0014157D" w:rsidRPr="0068278F">
        <w:rPr>
          <w:rFonts w:ascii="Century Gothic" w:hAnsi="Century Gothic"/>
        </w:rPr>
        <w:t xml:space="preserve">at </w:t>
      </w:r>
      <w:r w:rsidRPr="0068278F">
        <w:rPr>
          <w:rFonts w:ascii="Century Gothic" w:hAnsi="Century Gothic"/>
        </w:rPr>
        <w:t>a depreciation of 0.4% from Shs. 3,718 per US$ in the second half of FY 2022/23 to Shs. 3,734 per US$ in the first half of FY 2023/24. This depreciation was primarily driven by increased demand for the US dollar within the oil sector, manufacturing, and telecommunications industries. Additionally, a decline in offshore investment, as investors sought higher yields in advanced economies, also contributed to the Shilling's weakening during this period.</w:t>
      </w:r>
    </w:p>
    <w:p w14:paraId="6742BDEE" w14:textId="77777777" w:rsidR="003B129D" w:rsidRPr="0068278F" w:rsidRDefault="003B129D" w:rsidP="00C95282">
      <w:pPr>
        <w:pStyle w:val="ListParagraph"/>
        <w:numPr>
          <w:ilvl w:val="0"/>
          <w:numId w:val="1"/>
        </w:numPr>
        <w:spacing w:after="246" w:line="240" w:lineRule="auto"/>
        <w:ind w:right="172"/>
        <w:rPr>
          <w:rFonts w:ascii="Century Gothic" w:hAnsi="Century Gothic"/>
          <w:b/>
          <w:szCs w:val="24"/>
        </w:rPr>
      </w:pPr>
      <w:r w:rsidRPr="0068278F">
        <w:rPr>
          <w:rFonts w:ascii="Century Gothic" w:hAnsi="Century Gothic"/>
          <w:b/>
          <w:szCs w:val="24"/>
        </w:rPr>
        <w:t xml:space="preserve">External Sector </w:t>
      </w:r>
    </w:p>
    <w:p w14:paraId="067D45CE" w14:textId="77777777" w:rsidR="00EA3AC1" w:rsidRPr="0068278F" w:rsidRDefault="00EA3AC1" w:rsidP="00C95282">
      <w:pPr>
        <w:pStyle w:val="Heading3"/>
        <w:spacing w:after="172" w:line="240" w:lineRule="auto"/>
        <w:ind w:left="-5" w:right="0"/>
        <w:jc w:val="left"/>
        <w:rPr>
          <w:rFonts w:ascii="Century Gothic" w:hAnsi="Century Gothic"/>
          <w:i/>
        </w:rPr>
      </w:pPr>
      <w:r w:rsidRPr="0068278F">
        <w:rPr>
          <w:rFonts w:ascii="Century Gothic" w:eastAsia="Book Antiqua" w:hAnsi="Century Gothic" w:cs="Book Antiqua"/>
          <w:i/>
          <w:color w:val="000000"/>
        </w:rPr>
        <w:t xml:space="preserve">Merchandise Trade Balance </w:t>
      </w:r>
    </w:p>
    <w:p w14:paraId="0EEBAA5C" w14:textId="77777777" w:rsidR="009738E9" w:rsidRPr="0068278F" w:rsidRDefault="00EA3AC1" w:rsidP="00C95282">
      <w:pPr>
        <w:spacing w:after="246" w:line="240" w:lineRule="auto"/>
        <w:ind w:left="-5" w:right="172"/>
        <w:rPr>
          <w:rFonts w:ascii="Century Gothic" w:hAnsi="Century Gothic"/>
          <w:szCs w:val="24"/>
        </w:rPr>
      </w:pPr>
      <w:r w:rsidRPr="0068278F">
        <w:rPr>
          <w:rFonts w:ascii="Century Gothic" w:hAnsi="Century Gothic"/>
          <w:szCs w:val="24"/>
        </w:rPr>
        <w:t xml:space="preserve">Uganda’s trade with the rest of the world resulted in a deficit of US$ 1,646.6 million in H1 </w:t>
      </w:r>
      <w:r w:rsidR="00E548A1" w:rsidRPr="0068278F">
        <w:rPr>
          <w:rFonts w:ascii="Century Gothic" w:hAnsi="Century Gothic"/>
          <w:szCs w:val="24"/>
        </w:rPr>
        <w:t xml:space="preserve">of FY </w:t>
      </w:r>
      <w:r w:rsidRPr="0068278F">
        <w:rPr>
          <w:rFonts w:ascii="Century Gothic" w:hAnsi="Century Gothic"/>
          <w:szCs w:val="24"/>
        </w:rPr>
        <w:t xml:space="preserve">2023/24. The deficit narrowed compared to the deficit of US$ 1,900.7 million recorded in H1 the previous financial year as the increase in exports more than offset the </w:t>
      </w:r>
      <w:r w:rsidR="00892D30" w:rsidRPr="0068278F">
        <w:rPr>
          <w:rFonts w:ascii="Century Gothic" w:hAnsi="Century Gothic"/>
          <w:szCs w:val="24"/>
        </w:rPr>
        <w:t xml:space="preserve">rise in the import bill. </w:t>
      </w:r>
    </w:p>
    <w:p w14:paraId="01F33995" w14:textId="77777777" w:rsidR="009738E9" w:rsidRPr="0068278F" w:rsidRDefault="00892D30" w:rsidP="00C95282">
      <w:pPr>
        <w:spacing w:after="246" w:line="240" w:lineRule="auto"/>
        <w:ind w:left="-5" w:right="172"/>
        <w:rPr>
          <w:rFonts w:ascii="Century Gothic" w:hAnsi="Century Gothic"/>
          <w:szCs w:val="24"/>
        </w:rPr>
      </w:pPr>
      <w:r w:rsidRPr="0068278F">
        <w:rPr>
          <w:rFonts w:ascii="Century Gothic" w:hAnsi="Century Gothic"/>
          <w:szCs w:val="24"/>
        </w:rPr>
        <w:t>Receipts from</w:t>
      </w:r>
      <w:r w:rsidR="00C92598" w:rsidRPr="0068278F">
        <w:rPr>
          <w:rFonts w:ascii="Century Gothic" w:hAnsi="Century Gothic"/>
          <w:szCs w:val="24"/>
        </w:rPr>
        <w:t xml:space="preserve"> exports increased by 68.5%</w:t>
      </w:r>
      <w:r w:rsidRPr="0068278F">
        <w:rPr>
          <w:rFonts w:ascii="Century Gothic" w:hAnsi="Century Gothic"/>
          <w:szCs w:val="24"/>
        </w:rPr>
        <w:t xml:space="preserve"> which more than offset the </w:t>
      </w:r>
      <w:r w:rsidR="00852360" w:rsidRPr="0068278F">
        <w:rPr>
          <w:rFonts w:ascii="Century Gothic" w:hAnsi="Century Gothic"/>
          <w:szCs w:val="24"/>
        </w:rPr>
        <w:t>rise</w:t>
      </w:r>
      <w:r w:rsidRPr="0068278F">
        <w:rPr>
          <w:rFonts w:ascii="Century Gothic" w:hAnsi="Century Gothic"/>
          <w:szCs w:val="24"/>
        </w:rPr>
        <w:t xml:space="preserve"> in imports (up </w:t>
      </w:r>
      <w:r w:rsidR="00852360" w:rsidRPr="0068278F">
        <w:rPr>
          <w:rFonts w:ascii="Century Gothic" w:hAnsi="Century Gothic"/>
          <w:szCs w:val="24"/>
        </w:rPr>
        <w:t xml:space="preserve">by </w:t>
      </w:r>
      <w:r w:rsidRPr="0068278F">
        <w:rPr>
          <w:rFonts w:ascii="Century Gothic" w:hAnsi="Century Gothic"/>
          <w:szCs w:val="24"/>
        </w:rPr>
        <w:t>30.9%). The main drivers of the export performance were c</w:t>
      </w:r>
      <w:r w:rsidR="00940905" w:rsidRPr="0068278F">
        <w:rPr>
          <w:rFonts w:ascii="Century Gothic" w:hAnsi="Century Gothic"/>
          <w:szCs w:val="24"/>
        </w:rPr>
        <w:t>offee and g</w:t>
      </w:r>
      <w:r w:rsidRPr="0068278F">
        <w:rPr>
          <w:rFonts w:ascii="Century Gothic" w:hAnsi="Century Gothic"/>
          <w:szCs w:val="24"/>
        </w:rPr>
        <w:t>old exports that benefited from higher prices and volumes. EAC remained Uganda’s biggest export market taking up 37.7% of the total export merchandise.</w:t>
      </w:r>
      <w:r w:rsidR="00940905" w:rsidRPr="0068278F">
        <w:rPr>
          <w:rFonts w:ascii="Century Gothic" w:hAnsi="Century Gothic"/>
          <w:szCs w:val="24"/>
        </w:rPr>
        <w:t xml:space="preserve"> </w:t>
      </w:r>
    </w:p>
    <w:p w14:paraId="6AF4B868" w14:textId="77777777" w:rsidR="00EA3AC1" w:rsidRPr="0068278F" w:rsidRDefault="00940905" w:rsidP="00C95282">
      <w:pPr>
        <w:spacing w:after="246" w:line="240" w:lineRule="auto"/>
        <w:ind w:left="-5" w:right="172"/>
        <w:rPr>
          <w:rFonts w:ascii="Century Gothic" w:hAnsi="Century Gothic"/>
          <w:szCs w:val="24"/>
        </w:rPr>
      </w:pPr>
      <w:r w:rsidRPr="0068278F">
        <w:rPr>
          <w:rFonts w:ascii="Century Gothic" w:hAnsi="Century Gothic"/>
          <w:szCs w:val="24"/>
        </w:rPr>
        <w:t>During the first half of Fiscal Year 2023/24, Uganda’s merchandise imports saw a</w:t>
      </w:r>
      <w:r w:rsidRPr="0068278F">
        <w:rPr>
          <w:rFonts w:ascii="Century Gothic" w:hAnsi="Century Gothic"/>
        </w:rPr>
        <w:t xml:space="preserve"> </w:t>
      </w:r>
      <w:r w:rsidRPr="0068278F">
        <w:rPr>
          <w:rFonts w:ascii="Century Gothic" w:hAnsi="Century Gothic"/>
          <w:szCs w:val="24"/>
        </w:rPr>
        <w:t>significant rise, reaching US$ 5,415.6 million, marking a 30.9% increase from the US$ 4,137.1 million reported in the same period of FY 2022/23. This surge was predominantly due to robust growth in imports by the private sector.</w:t>
      </w:r>
      <w:r w:rsidR="00EF3324" w:rsidRPr="0068278F">
        <w:rPr>
          <w:rFonts w:ascii="Century Gothic" w:hAnsi="Century Gothic"/>
          <w:szCs w:val="24"/>
        </w:rPr>
        <w:t xml:space="preserve"> Asia remained Uganda’s biggest source of imports, followed by EAC.</w:t>
      </w:r>
    </w:p>
    <w:p w14:paraId="49535F3A" w14:textId="77777777" w:rsidR="00EA3AC1" w:rsidRPr="0068278F" w:rsidRDefault="00EA3AC1" w:rsidP="00C95282">
      <w:pPr>
        <w:spacing w:after="246" w:line="240" w:lineRule="auto"/>
        <w:ind w:left="-5" w:right="172"/>
        <w:rPr>
          <w:rFonts w:ascii="Century Gothic" w:hAnsi="Century Gothic"/>
          <w:i/>
          <w:szCs w:val="24"/>
        </w:rPr>
      </w:pPr>
      <w:r w:rsidRPr="0068278F">
        <w:rPr>
          <w:rFonts w:ascii="Century Gothic" w:hAnsi="Century Gothic"/>
          <w:i/>
          <w:szCs w:val="24"/>
        </w:rPr>
        <w:t xml:space="preserve">Main Trade Partners </w:t>
      </w:r>
    </w:p>
    <w:p w14:paraId="57179BAA" w14:textId="2CF40589" w:rsidR="00E42E36" w:rsidRPr="0068278F" w:rsidRDefault="00EA3AC1" w:rsidP="0068278F">
      <w:pPr>
        <w:spacing w:after="246" w:line="240" w:lineRule="auto"/>
        <w:ind w:left="-15" w:right="172" w:firstLine="0"/>
        <w:rPr>
          <w:rFonts w:ascii="Century Gothic" w:hAnsi="Century Gothic"/>
          <w:szCs w:val="24"/>
        </w:rPr>
      </w:pPr>
      <w:r w:rsidRPr="0068278F">
        <w:rPr>
          <w:rFonts w:ascii="Century Gothic" w:hAnsi="Century Gothic"/>
          <w:szCs w:val="24"/>
        </w:rPr>
        <w:t>In the first half of Fiscal Year 2023/24, the East African Community (EAC) stood as Uganda's primary trading partner, marking a 59.2% increase from the US$ 1,762.5 million recorded i</w:t>
      </w:r>
      <w:r w:rsidR="00892D30" w:rsidRPr="0068278F">
        <w:rPr>
          <w:rFonts w:ascii="Century Gothic" w:hAnsi="Century Gothic"/>
          <w:szCs w:val="24"/>
        </w:rPr>
        <w:t xml:space="preserve">n the first half of FY 2022/23. </w:t>
      </w:r>
      <w:r w:rsidRPr="0068278F">
        <w:rPr>
          <w:rFonts w:ascii="Century Gothic" w:hAnsi="Century Gothic"/>
          <w:szCs w:val="24"/>
        </w:rPr>
        <w:t xml:space="preserve">This surge in trade with the EAC was predominantly fueled by a substantial rise in imports from the region. Consequently, Uganda's trade surplus with the EAC narrowed to US$ 34.44 million in H1 </w:t>
      </w:r>
      <w:r w:rsidR="003D04C2" w:rsidRPr="0068278F">
        <w:rPr>
          <w:rFonts w:ascii="Century Gothic" w:hAnsi="Century Gothic"/>
          <w:szCs w:val="24"/>
        </w:rPr>
        <w:t xml:space="preserve">of FY </w:t>
      </w:r>
      <w:r w:rsidRPr="0068278F">
        <w:rPr>
          <w:rFonts w:ascii="Century Gothic" w:hAnsi="Century Gothic"/>
          <w:szCs w:val="24"/>
        </w:rPr>
        <w:t xml:space="preserve">2023/24, a decrease from the US$ 724.07 million surplus observed in </w:t>
      </w:r>
      <w:r w:rsidRPr="0068278F">
        <w:rPr>
          <w:rFonts w:ascii="Century Gothic" w:hAnsi="Century Gothic"/>
          <w:szCs w:val="24"/>
        </w:rPr>
        <w:lastRenderedPageBreak/>
        <w:t>the correspond</w:t>
      </w:r>
      <w:r w:rsidR="00892D30" w:rsidRPr="0068278F">
        <w:rPr>
          <w:rFonts w:ascii="Century Gothic" w:hAnsi="Century Gothic"/>
          <w:szCs w:val="24"/>
        </w:rPr>
        <w:t>ing period of the previous year</w:t>
      </w:r>
      <w:r w:rsidRPr="0068278F">
        <w:rPr>
          <w:rFonts w:ascii="Century Gothic" w:hAnsi="Century Gothic"/>
          <w:szCs w:val="24"/>
        </w:rPr>
        <w:t>. Additionally, Uganda achieved a trade surplus with both the Middle East and the European Union during the first half of FY 2023/24, reversing the deficit</w:t>
      </w:r>
      <w:r w:rsidR="00892D30" w:rsidRPr="0068278F">
        <w:rPr>
          <w:rFonts w:ascii="Century Gothic" w:hAnsi="Century Gothic"/>
          <w:szCs w:val="24"/>
        </w:rPr>
        <w:t>s</w:t>
      </w:r>
      <w:r w:rsidRPr="0068278F">
        <w:rPr>
          <w:rFonts w:ascii="Century Gothic" w:hAnsi="Century Gothic"/>
          <w:szCs w:val="24"/>
        </w:rPr>
        <w:t xml:space="preserve"> </w:t>
      </w:r>
      <w:r w:rsidR="00892D30" w:rsidRPr="0068278F">
        <w:rPr>
          <w:rFonts w:ascii="Century Gothic" w:hAnsi="Century Gothic"/>
          <w:szCs w:val="24"/>
        </w:rPr>
        <w:t>recorded</w:t>
      </w:r>
      <w:r w:rsidRPr="0068278F">
        <w:rPr>
          <w:rFonts w:ascii="Century Gothic" w:hAnsi="Century Gothic"/>
          <w:szCs w:val="24"/>
        </w:rPr>
        <w:t xml:space="preserve"> in the same period last financial year. </w:t>
      </w:r>
      <w:r w:rsidR="00892D30" w:rsidRPr="0068278F">
        <w:rPr>
          <w:rFonts w:ascii="Century Gothic" w:hAnsi="Century Gothic"/>
          <w:szCs w:val="24"/>
        </w:rPr>
        <w:t>However, Uganda continued to trade at a deficit with Asia, the Rest of Africa, Rest of Europe, among others.</w:t>
      </w:r>
    </w:p>
    <w:p w14:paraId="0C6CEFE8" w14:textId="792BE695" w:rsidR="00A42888" w:rsidRPr="0068278F" w:rsidRDefault="00E42E36" w:rsidP="00C95282">
      <w:pPr>
        <w:spacing w:after="246" w:line="240" w:lineRule="auto"/>
        <w:ind w:left="-15" w:right="172" w:firstLine="0"/>
        <w:rPr>
          <w:rFonts w:ascii="Century Gothic" w:hAnsi="Century Gothic"/>
          <w:szCs w:val="24"/>
        </w:rPr>
      </w:pPr>
      <w:r w:rsidRPr="0068278F">
        <w:rPr>
          <w:rFonts w:ascii="Century Gothic" w:hAnsi="Century Gothic"/>
          <w:b/>
          <w:szCs w:val="24"/>
        </w:rPr>
        <w:t>Table 1</w:t>
      </w:r>
      <w:r w:rsidRPr="0068278F">
        <w:rPr>
          <w:rFonts w:ascii="Century Gothic" w:hAnsi="Century Gothic"/>
          <w:szCs w:val="24"/>
        </w:rPr>
        <w:t xml:space="preserve">: </w:t>
      </w:r>
      <w:r w:rsidR="00A42888" w:rsidRPr="0068278F">
        <w:rPr>
          <w:rFonts w:ascii="Century Gothic" w:hAnsi="Century Gothic"/>
          <w:szCs w:val="24"/>
        </w:rPr>
        <w:t>Uganda’s Merchandise Trade (Goods) – Destination of Exports and Source of Imports</w:t>
      </w:r>
      <w:r w:rsidRPr="0068278F">
        <w:rPr>
          <w:rFonts w:ascii="Century Gothic" w:hAnsi="Century Gothic"/>
          <w:szCs w:val="24"/>
        </w:rPr>
        <w:t>.</w:t>
      </w:r>
    </w:p>
    <w:p w14:paraId="4A3C4031" w14:textId="77777777" w:rsidR="00D22BFA" w:rsidRPr="0068278F" w:rsidRDefault="00043C8C" w:rsidP="00C95282">
      <w:pPr>
        <w:spacing w:after="0" w:line="240" w:lineRule="auto"/>
        <w:ind w:left="-15" w:right="172" w:firstLine="0"/>
        <w:rPr>
          <w:rFonts w:ascii="Century Gothic" w:hAnsi="Century Gothic"/>
          <w:szCs w:val="24"/>
        </w:rPr>
      </w:pPr>
      <w:r w:rsidRPr="0068278F">
        <w:rPr>
          <w:rFonts w:ascii="Century Gothic" w:hAnsi="Century Gothic"/>
          <w:noProof/>
        </w:rPr>
        <w:drawing>
          <wp:inline distT="0" distB="0" distL="0" distR="0" wp14:anchorId="31B3A06C" wp14:editId="531E2208">
            <wp:extent cx="5943600" cy="171370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3700"/>
                    </a:xfrm>
                    <a:prstGeom prst="rect">
                      <a:avLst/>
                    </a:prstGeom>
                    <a:noFill/>
                    <a:ln>
                      <a:noFill/>
                    </a:ln>
                  </pic:spPr>
                </pic:pic>
              </a:graphicData>
            </a:graphic>
          </wp:inline>
        </w:drawing>
      </w:r>
    </w:p>
    <w:p w14:paraId="04777863" w14:textId="77777777" w:rsidR="006B62EF" w:rsidRPr="0068278F" w:rsidRDefault="006B62EF" w:rsidP="00C95282">
      <w:pPr>
        <w:spacing w:after="0" w:line="240" w:lineRule="auto"/>
        <w:ind w:left="-15" w:right="172" w:firstLine="0"/>
        <w:rPr>
          <w:rFonts w:ascii="Century Gothic" w:hAnsi="Century Gothic"/>
          <w:sz w:val="18"/>
          <w:szCs w:val="18"/>
        </w:rPr>
      </w:pPr>
      <w:r w:rsidRPr="0068278F">
        <w:rPr>
          <w:rFonts w:ascii="Century Gothic" w:hAnsi="Century Gothic"/>
          <w:sz w:val="18"/>
          <w:szCs w:val="18"/>
        </w:rPr>
        <w:t>Source: Bank of Uganda</w:t>
      </w:r>
    </w:p>
    <w:p w14:paraId="7652269C" w14:textId="77777777" w:rsidR="006B62EF" w:rsidRPr="0068278F" w:rsidRDefault="006B62EF" w:rsidP="00C95282">
      <w:pPr>
        <w:spacing w:after="0" w:line="240" w:lineRule="auto"/>
        <w:ind w:left="-15" w:right="172" w:firstLine="0"/>
        <w:rPr>
          <w:rFonts w:ascii="Century Gothic" w:hAnsi="Century Gothic"/>
          <w:szCs w:val="24"/>
        </w:rPr>
      </w:pPr>
    </w:p>
    <w:p w14:paraId="48A014CD" w14:textId="77777777" w:rsidR="00940905" w:rsidRPr="0068278F" w:rsidRDefault="00940905" w:rsidP="00C95282">
      <w:pPr>
        <w:spacing w:after="246" w:line="240" w:lineRule="auto"/>
        <w:ind w:left="-15" w:right="172" w:firstLine="0"/>
        <w:rPr>
          <w:rFonts w:ascii="Century Gothic" w:hAnsi="Century Gothic"/>
          <w:i/>
          <w:szCs w:val="24"/>
        </w:rPr>
      </w:pPr>
      <w:r w:rsidRPr="0068278F">
        <w:rPr>
          <w:rFonts w:ascii="Century Gothic" w:hAnsi="Century Gothic"/>
          <w:i/>
          <w:szCs w:val="24"/>
        </w:rPr>
        <w:t>Other Balance of Payments Developments</w:t>
      </w:r>
    </w:p>
    <w:p w14:paraId="404AC621" w14:textId="77777777" w:rsidR="003D04C2" w:rsidRPr="0068278F" w:rsidRDefault="003B129D" w:rsidP="00C95282">
      <w:pPr>
        <w:spacing w:after="246" w:line="240" w:lineRule="auto"/>
        <w:ind w:left="-5" w:right="172"/>
        <w:rPr>
          <w:rFonts w:ascii="Century Gothic" w:hAnsi="Century Gothic"/>
          <w:szCs w:val="24"/>
        </w:rPr>
      </w:pPr>
      <w:r w:rsidRPr="0068278F">
        <w:rPr>
          <w:rFonts w:ascii="Century Gothic" w:hAnsi="Century Gothic"/>
          <w:szCs w:val="24"/>
        </w:rPr>
        <w:t xml:space="preserve">By the end of 2023, Uganda's international reserves had risen to </w:t>
      </w:r>
      <w:r w:rsidR="00940905" w:rsidRPr="0068278F">
        <w:rPr>
          <w:rFonts w:ascii="Century Gothic" w:hAnsi="Century Gothic"/>
          <w:szCs w:val="24"/>
        </w:rPr>
        <w:t>US</w:t>
      </w:r>
      <w:r w:rsidRPr="0068278F">
        <w:rPr>
          <w:rFonts w:ascii="Century Gothic" w:hAnsi="Century Gothic"/>
          <w:szCs w:val="24"/>
        </w:rPr>
        <w:t>$</w:t>
      </w:r>
      <w:r w:rsidR="00940905" w:rsidRPr="0068278F">
        <w:rPr>
          <w:rFonts w:ascii="Century Gothic" w:hAnsi="Century Gothic"/>
          <w:szCs w:val="24"/>
        </w:rPr>
        <w:t xml:space="preserve"> </w:t>
      </w:r>
      <w:r w:rsidRPr="0068278F">
        <w:rPr>
          <w:rFonts w:ascii="Century Gothic" w:hAnsi="Century Gothic"/>
          <w:szCs w:val="24"/>
        </w:rPr>
        <w:t xml:space="preserve">3,733.9 million, covering 3.6 months of imports, an improvement from </w:t>
      </w:r>
      <w:r w:rsidR="00940905" w:rsidRPr="0068278F">
        <w:rPr>
          <w:rFonts w:ascii="Century Gothic" w:hAnsi="Century Gothic"/>
          <w:szCs w:val="24"/>
        </w:rPr>
        <w:t>US</w:t>
      </w:r>
      <w:r w:rsidRPr="0068278F">
        <w:rPr>
          <w:rFonts w:ascii="Century Gothic" w:hAnsi="Century Gothic"/>
          <w:szCs w:val="24"/>
        </w:rPr>
        <w:t>$</w:t>
      </w:r>
      <w:r w:rsidR="00940905" w:rsidRPr="0068278F">
        <w:rPr>
          <w:rFonts w:ascii="Century Gothic" w:hAnsi="Century Gothic"/>
          <w:szCs w:val="24"/>
        </w:rPr>
        <w:t xml:space="preserve"> </w:t>
      </w:r>
      <w:r w:rsidRPr="0068278F">
        <w:rPr>
          <w:rFonts w:ascii="Century Gothic" w:hAnsi="Century Gothic"/>
          <w:szCs w:val="24"/>
        </w:rPr>
        <w:t>3,563.1 million the previous year. This boost in reserves reflects higher foreign direct investment (FDI), particularly from the oil sector, and an uptick in exports.</w:t>
      </w:r>
    </w:p>
    <w:p w14:paraId="0F9FA8AC" w14:textId="182226F7" w:rsidR="009738E9" w:rsidRPr="0068278F" w:rsidRDefault="003D04C2" w:rsidP="00C95282">
      <w:pPr>
        <w:spacing w:after="246" w:line="240" w:lineRule="auto"/>
        <w:ind w:left="-5" w:right="172"/>
        <w:rPr>
          <w:rFonts w:ascii="Century Gothic" w:hAnsi="Century Gothic"/>
          <w:szCs w:val="24"/>
        </w:rPr>
      </w:pPr>
      <w:r w:rsidRPr="0068278F">
        <w:rPr>
          <w:rFonts w:ascii="Century Gothic" w:hAnsi="Century Gothic"/>
          <w:szCs w:val="24"/>
        </w:rPr>
        <w:t xml:space="preserve">FDI rose by 21.3% to US$ 895.1 million, from US$ 738.2 million, largely due to increased oil sector activities, </w:t>
      </w:r>
      <w:r w:rsidR="003023F2" w:rsidRPr="0068278F">
        <w:rPr>
          <w:rFonts w:ascii="Century Gothic" w:hAnsi="Century Gothic"/>
          <w:szCs w:val="24"/>
        </w:rPr>
        <w:t>signaling</w:t>
      </w:r>
      <w:r w:rsidRPr="0068278F">
        <w:rPr>
          <w:rFonts w:ascii="Century Gothic" w:hAnsi="Century Gothic"/>
          <w:szCs w:val="24"/>
        </w:rPr>
        <w:t xml:space="preserve"> strong economic prospects and investor confidence in Uganda. </w:t>
      </w:r>
      <w:r w:rsidR="003B129D" w:rsidRPr="0068278F">
        <w:rPr>
          <w:rFonts w:ascii="Century Gothic" w:hAnsi="Century Gothic"/>
          <w:szCs w:val="24"/>
        </w:rPr>
        <w:t xml:space="preserve"> </w:t>
      </w:r>
    </w:p>
    <w:p w14:paraId="7B16894D" w14:textId="77777777" w:rsidR="009738E9" w:rsidRPr="0068278F" w:rsidRDefault="003B129D" w:rsidP="00C95282">
      <w:pPr>
        <w:spacing w:after="246" w:line="240" w:lineRule="auto"/>
        <w:ind w:left="-5" w:right="172"/>
        <w:rPr>
          <w:rFonts w:ascii="Century Gothic" w:hAnsi="Century Gothic"/>
          <w:szCs w:val="24"/>
        </w:rPr>
      </w:pPr>
      <w:r w:rsidRPr="0068278F">
        <w:rPr>
          <w:rFonts w:ascii="Century Gothic" w:hAnsi="Century Gothic"/>
          <w:szCs w:val="24"/>
        </w:rPr>
        <w:t>Tourism also increase</w:t>
      </w:r>
      <w:r w:rsidR="00940905" w:rsidRPr="0068278F">
        <w:rPr>
          <w:rFonts w:ascii="Century Gothic" w:hAnsi="Century Gothic"/>
          <w:szCs w:val="24"/>
        </w:rPr>
        <w:t>d</w:t>
      </w:r>
      <w:r w:rsidRPr="0068278F">
        <w:rPr>
          <w:rFonts w:ascii="Century Gothic" w:hAnsi="Century Gothic"/>
          <w:szCs w:val="24"/>
        </w:rPr>
        <w:t xml:space="preserve">, with earnings reaching </w:t>
      </w:r>
      <w:r w:rsidR="00940905" w:rsidRPr="0068278F">
        <w:rPr>
          <w:rFonts w:ascii="Century Gothic" w:hAnsi="Century Gothic"/>
          <w:szCs w:val="24"/>
        </w:rPr>
        <w:t>US</w:t>
      </w:r>
      <w:r w:rsidRPr="0068278F">
        <w:rPr>
          <w:rFonts w:ascii="Century Gothic" w:hAnsi="Century Gothic"/>
          <w:szCs w:val="24"/>
        </w:rPr>
        <w:t>$</w:t>
      </w:r>
      <w:r w:rsidR="00940905" w:rsidRPr="0068278F">
        <w:rPr>
          <w:rFonts w:ascii="Century Gothic" w:hAnsi="Century Gothic"/>
          <w:szCs w:val="24"/>
        </w:rPr>
        <w:t xml:space="preserve"> </w:t>
      </w:r>
      <w:r w:rsidRPr="0068278F">
        <w:rPr>
          <w:rFonts w:ascii="Century Gothic" w:hAnsi="Century Gothic"/>
          <w:szCs w:val="24"/>
        </w:rPr>
        <w:t xml:space="preserve">289.9 million in the first quarter of FY 2023/24, up from </w:t>
      </w:r>
      <w:r w:rsidR="00940905" w:rsidRPr="0068278F">
        <w:rPr>
          <w:rFonts w:ascii="Century Gothic" w:hAnsi="Century Gothic"/>
          <w:szCs w:val="24"/>
        </w:rPr>
        <w:t>US</w:t>
      </w:r>
      <w:r w:rsidRPr="0068278F">
        <w:rPr>
          <w:rFonts w:ascii="Century Gothic" w:hAnsi="Century Gothic"/>
          <w:szCs w:val="24"/>
        </w:rPr>
        <w:t>$</w:t>
      </w:r>
      <w:r w:rsidR="00940905" w:rsidRPr="0068278F">
        <w:rPr>
          <w:rFonts w:ascii="Century Gothic" w:hAnsi="Century Gothic"/>
          <w:szCs w:val="24"/>
        </w:rPr>
        <w:t xml:space="preserve"> </w:t>
      </w:r>
      <w:r w:rsidRPr="0068278F">
        <w:rPr>
          <w:rFonts w:ascii="Century Gothic" w:hAnsi="Century Gothic"/>
          <w:szCs w:val="24"/>
        </w:rPr>
        <w:t xml:space="preserve">223.9 million, credited to efforts under the tourism development program aimed at bolstering Uganda's appeal and tourism income. </w:t>
      </w:r>
    </w:p>
    <w:p w14:paraId="63F90776" w14:textId="320540A5" w:rsidR="00E42E36" w:rsidRPr="0068278F" w:rsidRDefault="003B129D" w:rsidP="00A63996">
      <w:pPr>
        <w:spacing w:after="246" w:line="240" w:lineRule="auto"/>
        <w:ind w:left="-5" w:right="172"/>
        <w:rPr>
          <w:rFonts w:ascii="Century Gothic" w:hAnsi="Century Gothic"/>
          <w:szCs w:val="24"/>
        </w:rPr>
      </w:pPr>
      <w:r w:rsidRPr="0068278F">
        <w:rPr>
          <w:rFonts w:ascii="Century Gothic" w:hAnsi="Century Gothic"/>
          <w:szCs w:val="24"/>
        </w:rPr>
        <w:t xml:space="preserve">Remittances grew to </w:t>
      </w:r>
      <w:r w:rsidR="00940905" w:rsidRPr="0068278F">
        <w:rPr>
          <w:rFonts w:ascii="Century Gothic" w:hAnsi="Century Gothic"/>
          <w:szCs w:val="24"/>
        </w:rPr>
        <w:t>US</w:t>
      </w:r>
      <w:r w:rsidRPr="0068278F">
        <w:rPr>
          <w:rFonts w:ascii="Century Gothic" w:hAnsi="Century Gothic"/>
          <w:szCs w:val="24"/>
        </w:rPr>
        <w:t>$</w:t>
      </w:r>
      <w:r w:rsidR="00940905" w:rsidRPr="0068278F">
        <w:rPr>
          <w:rFonts w:ascii="Century Gothic" w:hAnsi="Century Gothic"/>
          <w:szCs w:val="24"/>
        </w:rPr>
        <w:t xml:space="preserve"> </w:t>
      </w:r>
      <w:r w:rsidRPr="0068278F">
        <w:rPr>
          <w:rFonts w:ascii="Century Gothic" w:hAnsi="Century Gothic"/>
          <w:szCs w:val="24"/>
        </w:rPr>
        <w:t xml:space="preserve">360.13 million, compared to </w:t>
      </w:r>
      <w:r w:rsidR="00940905" w:rsidRPr="0068278F">
        <w:rPr>
          <w:rFonts w:ascii="Century Gothic" w:hAnsi="Century Gothic"/>
          <w:szCs w:val="24"/>
        </w:rPr>
        <w:t>US</w:t>
      </w:r>
      <w:r w:rsidRPr="0068278F">
        <w:rPr>
          <w:rFonts w:ascii="Century Gothic" w:hAnsi="Century Gothic"/>
          <w:szCs w:val="24"/>
        </w:rPr>
        <w:t>$</w:t>
      </w:r>
      <w:r w:rsidR="00940905" w:rsidRPr="0068278F">
        <w:rPr>
          <w:rFonts w:ascii="Century Gothic" w:hAnsi="Century Gothic"/>
          <w:szCs w:val="24"/>
        </w:rPr>
        <w:t xml:space="preserve"> </w:t>
      </w:r>
      <w:r w:rsidRPr="0068278F">
        <w:rPr>
          <w:rFonts w:ascii="Century Gothic" w:hAnsi="Century Gothic"/>
          <w:szCs w:val="24"/>
        </w:rPr>
        <w:t xml:space="preserve">316.70 million in the same period last year, fuelled by a growing number of Ugandans working abroad. </w:t>
      </w:r>
    </w:p>
    <w:p w14:paraId="13F1BE4F" w14:textId="77777777" w:rsidR="002B22B2" w:rsidRPr="0068278F" w:rsidRDefault="002B22B2" w:rsidP="00C95282">
      <w:pPr>
        <w:pStyle w:val="ListParagraph"/>
        <w:numPr>
          <w:ilvl w:val="0"/>
          <w:numId w:val="1"/>
        </w:numPr>
        <w:spacing w:after="246" w:line="240" w:lineRule="auto"/>
        <w:ind w:right="172"/>
        <w:rPr>
          <w:rFonts w:ascii="Century Gothic" w:hAnsi="Century Gothic"/>
          <w:b/>
          <w:szCs w:val="24"/>
        </w:rPr>
      </w:pPr>
      <w:r w:rsidRPr="0068278F">
        <w:rPr>
          <w:rFonts w:ascii="Century Gothic" w:hAnsi="Century Gothic"/>
          <w:b/>
          <w:szCs w:val="24"/>
        </w:rPr>
        <w:t xml:space="preserve">Fiscal Sector </w:t>
      </w:r>
      <w:bookmarkStart w:id="0" w:name="_GoBack"/>
      <w:bookmarkEnd w:id="0"/>
    </w:p>
    <w:p w14:paraId="3C1EA947" w14:textId="77777777" w:rsidR="00A4189D" w:rsidRPr="0068278F" w:rsidRDefault="002B22B2" w:rsidP="00C95282">
      <w:pPr>
        <w:spacing w:after="246" w:line="240" w:lineRule="auto"/>
        <w:ind w:left="-5" w:right="172"/>
        <w:rPr>
          <w:rFonts w:ascii="Century Gothic" w:hAnsi="Century Gothic"/>
          <w:szCs w:val="24"/>
        </w:rPr>
      </w:pPr>
      <w:r w:rsidRPr="0068278F">
        <w:rPr>
          <w:rFonts w:ascii="Century Gothic" w:hAnsi="Century Gothic"/>
          <w:szCs w:val="24"/>
        </w:rPr>
        <w:t>In the first half of Fiscal Year 2023/24, overall fiscal operations resulted in a fiscal deficit of Shs 4,333.11 billion, surpassing the anticipated deficit of Shs 3,901.92 billion, primarily due to revenue and grants falling short of expectations.</w:t>
      </w:r>
      <w:r w:rsidR="00A4189D" w:rsidRPr="0068278F">
        <w:rPr>
          <w:rFonts w:ascii="Century Gothic" w:hAnsi="Century Gothic"/>
          <w:szCs w:val="24"/>
        </w:rPr>
        <w:t xml:space="preserve"> A </w:t>
      </w:r>
      <w:r w:rsidR="00A4189D" w:rsidRPr="0068278F">
        <w:rPr>
          <w:rFonts w:ascii="Century Gothic" w:hAnsi="Century Gothic"/>
          <w:szCs w:val="24"/>
        </w:rPr>
        <w:lastRenderedPageBreak/>
        <w:t xml:space="preserve">significant factor contributing to the revenue shortfall was the underperformance of Value Added Tax (VAT) on imports and excise duties on items like beer, spirits, sugar, and cement. Nevertheless, domestic revenue collections </w:t>
      </w:r>
      <w:r w:rsidR="00125FAF" w:rsidRPr="0068278F">
        <w:rPr>
          <w:rFonts w:ascii="Century Gothic" w:hAnsi="Century Gothic"/>
          <w:szCs w:val="24"/>
        </w:rPr>
        <w:t>registered</w:t>
      </w:r>
      <w:r w:rsidR="00A4189D" w:rsidRPr="0068278F">
        <w:rPr>
          <w:rFonts w:ascii="Century Gothic" w:hAnsi="Century Gothic"/>
          <w:szCs w:val="24"/>
        </w:rPr>
        <w:t xml:space="preserve"> positive growth of 12.9% compared to the s</w:t>
      </w:r>
      <w:r w:rsidR="00125FAF" w:rsidRPr="0068278F">
        <w:rPr>
          <w:rFonts w:ascii="Century Gothic" w:hAnsi="Century Gothic"/>
          <w:szCs w:val="24"/>
        </w:rPr>
        <w:t>ame period in the previous year</w:t>
      </w:r>
      <w:r w:rsidR="00A4189D" w:rsidRPr="0068278F">
        <w:rPr>
          <w:rFonts w:ascii="Century Gothic" w:hAnsi="Century Gothic"/>
          <w:szCs w:val="24"/>
        </w:rPr>
        <w:t>.</w:t>
      </w:r>
    </w:p>
    <w:p w14:paraId="7F50D4B1" w14:textId="77777777" w:rsidR="002B22B2" w:rsidRPr="0068278F" w:rsidRDefault="002B22B2" w:rsidP="00C95282">
      <w:pPr>
        <w:spacing w:after="246" w:line="240" w:lineRule="auto"/>
        <w:ind w:left="-5" w:right="172"/>
        <w:rPr>
          <w:rFonts w:ascii="Century Gothic" w:hAnsi="Century Gothic"/>
          <w:szCs w:val="24"/>
        </w:rPr>
      </w:pPr>
      <w:r w:rsidRPr="0068278F">
        <w:rPr>
          <w:rFonts w:ascii="Century Gothic" w:hAnsi="Century Gothic"/>
          <w:szCs w:val="24"/>
        </w:rPr>
        <w:t xml:space="preserve">Despite overall expenditure remaining under the targeted amount for this period, recurrent and domestically financed development expenditures exceeded their respective budgets. The total government expenditure reached Shs 18,218.79 billion, which was Shs 1,647.24 billion less than planned, due to </w:t>
      </w:r>
      <w:r w:rsidR="00FB76E0" w:rsidRPr="0068278F">
        <w:rPr>
          <w:rFonts w:ascii="Century Gothic" w:hAnsi="Century Gothic"/>
          <w:szCs w:val="24"/>
        </w:rPr>
        <w:t>lower</w:t>
      </w:r>
      <w:r w:rsidRPr="0068278F">
        <w:rPr>
          <w:rFonts w:ascii="Century Gothic" w:hAnsi="Century Gothic"/>
          <w:szCs w:val="24"/>
        </w:rPr>
        <w:t xml:space="preserve"> spending on externally financed development projects. </w:t>
      </w:r>
    </w:p>
    <w:p w14:paraId="5AFC8A94" w14:textId="62D83525" w:rsidR="002B22B2" w:rsidRPr="0068278F" w:rsidRDefault="002B22B2" w:rsidP="00C95282">
      <w:pPr>
        <w:spacing w:after="246" w:line="240" w:lineRule="auto"/>
        <w:ind w:left="-5" w:right="172"/>
        <w:rPr>
          <w:rFonts w:ascii="Century Gothic" w:hAnsi="Century Gothic"/>
          <w:szCs w:val="24"/>
        </w:rPr>
      </w:pPr>
      <w:r w:rsidRPr="0068278F">
        <w:rPr>
          <w:rFonts w:ascii="Century Gothic" w:hAnsi="Century Gothic"/>
          <w:szCs w:val="24"/>
        </w:rPr>
        <w:t xml:space="preserve">Furthermore, </w:t>
      </w:r>
      <w:r w:rsidR="003D04C2" w:rsidRPr="0068278F">
        <w:rPr>
          <w:rFonts w:ascii="Century Gothic" w:hAnsi="Century Gothic"/>
          <w:szCs w:val="24"/>
        </w:rPr>
        <w:t xml:space="preserve">the </w:t>
      </w:r>
      <w:r w:rsidRPr="0068278F">
        <w:rPr>
          <w:rFonts w:ascii="Century Gothic" w:hAnsi="Century Gothic"/>
          <w:szCs w:val="24"/>
        </w:rPr>
        <w:t xml:space="preserve">Debt Sustainability Analysis (DSA) </w:t>
      </w:r>
      <w:r w:rsidR="00125FAF" w:rsidRPr="0068278F">
        <w:rPr>
          <w:rFonts w:ascii="Century Gothic" w:hAnsi="Century Gothic"/>
          <w:szCs w:val="24"/>
        </w:rPr>
        <w:t xml:space="preserve">of December 2023 </w:t>
      </w:r>
      <w:r w:rsidRPr="0068278F">
        <w:rPr>
          <w:rFonts w:ascii="Century Gothic" w:hAnsi="Century Gothic"/>
          <w:szCs w:val="24"/>
        </w:rPr>
        <w:t>affirmed that public debt remains sustainable, with its GDP share decreasing to 46.9% in FY 2022/23 from 48.4% in FY 2021/22. Public debt is expected to stay within sustainable levels as the government further strengthens its fiscal consolidation efforts</w:t>
      </w:r>
      <w:r w:rsidR="00B25FC8" w:rsidRPr="0068278F">
        <w:rPr>
          <w:rFonts w:ascii="Century Gothic" w:hAnsi="Century Gothic"/>
          <w:szCs w:val="24"/>
        </w:rPr>
        <w:t xml:space="preserve"> and fully implements the Domestic Revenue </w:t>
      </w:r>
      <w:r w:rsidR="003023F2" w:rsidRPr="0068278F">
        <w:rPr>
          <w:rFonts w:ascii="Century Gothic" w:hAnsi="Century Gothic"/>
          <w:szCs w:val="24"/>
        </w:rPr>
        <w:t>Mobilization</w:t>
      </w:r>
      <w:r w:rsidR="00B25FC8" w:rsidRPr="0068278F">
        <w:rPr>
          <w:rFonts w:ascii="Century Gothic" w:hAnsi="Century Gothic"/>
          <w:szCs w:val="24"/>
        </w:rPr>
        <w:t xml:space="preserve"> Strategy</w:t>
      </w:r>
      <w:r w:rsidRPr="0068278F">
        <w:rPr>
          <w:rFonts w:ascii="Century Gothic" w:hAnsi="Century Gothic"/>
          <w:szCs w:val="24"/>
        </w:rPr>
        <w:t xml:space="preserve">. </w:t>
      </w:r>
    </w:p>
    <w:p w14:paraId="255D2868" w14:textId="77777777" w:rsidR="00043C8C" w:rsidRPr="0068278F" w:rsidRDefault="00043C8C" w:rsidP="00C95282">
      <w:pPr>
        <w:pStyle w:val="ListParagraph"/>
        <w:numPr>
          <w:ilvl w:val="0"/>
          <w:numId w:val="1"/>
        </w:numPr>
        <w:spacing w:after="246" w:line="240" w:lineRule="auto"/>
        <w:ind w:right="172"/>
        <w:rPr>
          <w:rFonts w:ascii="Century Gothic" w:hAnsi="Century Gothic"/>
          <w:b/>
          <w:szCs w:val="24"/>
        </w:rPr>
      </w:pPr>
      <w:r w:rsidRPr="0068278F">
        <w:rPr>
          <w:rFonts w:ascii="Century Gothic" w:hAnsi="Century Gothic"/>
          <w:b/>
          <w:szCs w:val="24"/>
        </w:rPr>
        <w:t>Economic Outlook</w:t>
      </w:r>
    </w:p>
    <w:p w14:paraId="01E3F30E" w14:textId="77777777" w:rsidR="00043C8C" w:rsidRPr="0068278F" w:rsidRDefault="00043C8C" w:rsidP="00C95282">
      <w:pPr>
        <w:spacing w:after="246" w:line="240" w:lineRule="auto"/>
        <w:ind w:left="-5" w:right="172"/>
        <w:rPr>
          <w:rFonts w:ascii="Century Gothic" w:hAnsi="Century Gothic"/>
          <w:szCs w:val="24"/>
        </w:rPr>
      </w:pPr>
      <w:r w:rsidRPr="0068278F">
        <w:rPr>
          <w:rFonts w:ascii="Century Gothic" w:hAnsi="Century Gothic"/>
          <w:szCs w:val="24"/>
        </w:rPr>
        <w:t>Going forward, the economy is expected to strengthen further to 6.4% in FY 2024/25 and maintain an average growth rate of 7% in the medium term. This outlook is anchored on anticipated improvements in both agricultural and manufacturing production and productivity. The government's strategic interventions, such as improving agricultural input quality, upgrading irrigation systems, continuing investments in industrial parks &amp; economic free zones, combined with a revival in private sector activity &amp; investment, as well as ongoing infrastructure development</w:t>
      </w:r>
      <w:r w:rsidR="003D04C2" w:rsidRPr="0068278F">
        <w:rPr>
          <w:rFonts w:ascii="Century Gothic" w:hAnsi="Century Gothic"/>
          <w:szCs w:val="24"/>
        </w:rPr>
        <w:t>s</w:t>
      </w:r>
      <w:r w:rsidRPr="0068278F">
        <w:rPr>
          <w:rFonts w:ascii="Century Gothic" w:hAnsi="Century Gothic"/>
          <w:szCs w:val="24"/>
        </w:rPr>
        <w:t>, particularly in the oil and gas industry, are poised to facilitate and sustain Uganda's economic growth trajectory.</w:t>
      </w:r>
    </w:p>
    <w:p w14:paraId="3BF34457" w14:textId="3ED25698" w:rsidR="00043C8C" w:rsidRPr="0068278F" w:rsidRDefault="0068278F" w:rsidP="0068278F">
      <w:pPr>
        <w:spacing w:after="246" w:line="240" w:lineRule="auto"/>
        <w:ind w:left="-5" w:right="172"/>
        <w:rPr>
          <w:rFonts w:ascii="Century Gothic" w:hAnsi="Century Gothic"/>
          <w:szCs w:val="24"/>
        </w:rPr>
      </w:pPr>
      <w:r w:rsidRPr="0068278F">
        <w:rPr>
          <w:rFonts w:ascii="Century Gothic" w:hAnsi="Century Gothic"/>
          <w:noProof/>
          <w:sz w:val="28"/>
          <w:szCs w:val="28"/>
        </w:rPr>
        <w:drawing>
          <wp:anchor distT="0" distB="0" distL="114300" distR="114300" simplePos="0" relativeHeight="251658240" behindDoc="0" locked="0" layoutInCell="1" allowOverlap="1" wp14:anchorId="148AB068" wp14:editId="53DC205C">
            <wp:simplePos x="0" y="0"/>
            <wp:positionH relativeFrom="column">
              <wp:posOffset>-19050</wp:posOffset>
            </wp:positionH>
            <wp:positionV relativeFrom="paragraph">
              <wp:posOffset>339090</wp:posOffset>
            </wp:positionV>
            <wp:extent cx="5800725" cy="12668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1266825"/>
                    </a:xfrm>
                    <a:prstGeom prst="rect">
                      <a:avLst/>
                    </a:prstGeom>
                    <a:noFill/>
                    <a:ln>
                      <a:noFill/>
                    </a:ln>
                  </pic:spPr>
                </pic:pic>
              </a:graphicData>
            </a:graphic>
            <wp14:sizeRelH relativeFrom="margin">
              <wp14:pctWidth>0</wp14:pctWidth>
            </wp14:sizeRelH>
          </wp:anchor>
        </w:drawing>
      </w:r>
      <w:r w:rsidR="00E42E36" w:rsidRPr="0068278F">
        <w:rPr>
          <w:rFonts w:ascii="Century Gothic" w:hAnsi="Century Gothic"/>
          <w:b/>
          <w:szCs w:val="24"/>
        </w:rPr>
        <w:t>Table 2</w:t>
      </w:r>
      <w:r w:rsidR="00E42E36" w:rsidRPr="0068278F">
        <w:rPr>
          <w:rFonts w:ascii="Century Gothic" w:hAnsi="Century Gothic"/>
          <w:szCs w:val="24"/>
        </w:rPr>
        <w:t>: S</w:t>
      </w:r>
      <w:r w:rsidR="00A42888" w:rsidRPr="0068278F">
        <w:rPr>
          <w:rFonts w:ascii="Century Gothic" w:hAnsi="Century Gothic"/>
          <w:szCs w:val="24"/>
        </w:rPr>
        <w:t>elected Macroeconomic Assumptions</w:t>
      </w:r>
    </w:p>
    <w:p w14:paraId="2650D1A6" w14:textId="77777777" w:rsidR="0068278F" w:rsidRDefault="0068278F" w:rsidP="0068278F">
      <w:pPr>
        <w:spacing w:after="0" w:line="240" w:lineRule="auto"/>
        <w:ind w:left="-426" w:right="172" w:firstLine="411"/>
        <w:rPr>
          <w:rFonts w:ascii="Century Gothic" w:hAnsi="Century Gothic"/>
          <w:sz w:val="18"/>
          <w:szCs w:val="18"/>
        </w:rPr>
      </w:pPr>
    </w:p>
    <w:p w14:paraId="7E91974B" w14:textId="77777777" w:rsidR="00A42888" w:rsidRPr="0068278F" w:rsidRDefault="00A42888" w:rsidP="0068278F">
      <w:pPr>
        <w:spacing w:after="0" w:line="240" w:lineRule="auto"/>
        <w:ind w:left="-426" w:right="172" w:firstLine="411"/>
        <w:rPr>
          <w:rFonts w:ascii="Century Gothic" w:hAnsi="Century Gothic"/>
          <w:sz w:val="18"/>
          <w:szCs w:val="18"/>
        </w:rPr>
      </w:pPr>
      <w:r w:rsidRPr="0068278F">
        <w:rPr>
          <w:rFonts w:ascii="Century Gothic" w:hAnsi="Century Gothic"/>
          <w:sz w:val="18"/>
          <w:szCs w:val="18"/>
        </w:rPr>
        <w:t>Source: MFPED</w:t>
      </w:r>
    </w:p>
    <w:p w14:paraId="0E74CB9B" w14:textId="77777777" w:rsidR="00A42888" w:rsidRPr="0068278F" w:rsidRDefault="00A42888" w:rsidP="00C95282">
      <w:pPr>
        <w:spacing w:line="240" w:lineRule="auto"/>
        <w:ind w:left="0" w:firstLine="0"/>
        <w:rPr>
          <w:rFonts w:ascii="Century Gothic" w:hAnsi="Century Gothic"/>
          <w:szCs w:val="24"/>
        </w:rPr>
      </w:pPr>
    </w:p>
    <w:sectPr w:rsidR="00A42888" w:rsidRPr="0068278F" w:rsidSect="008C35C6">
      <w:footerReference w:type="default" r:id="rId9"/>
      <w:pgSz w:w="12240" w:h="15840"/>
      <w:pgMar w:top="1440" w:right="1440" w:bottom="1440" w:left="1440" w:header="720" w:footer="720" w:gutter="0"/>
      <w:paperSrc w:first="2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23C86" w14:textId="77777777" w:rsidR="00F11432" w:rsidRDefault="00F11432" w:rsidP="00043C8C">
      <w:pPr>
        <w:spacing w:after="0" w:line="240" w:lineRule="auto"/>
      </w:pPr>
      <w:r>
        <w:separator/>
      </w:r>
    </w:p>
  </w:endnote>
  <w:endnote w:type="continuationSeparator" w:id="0">
    <w:p w14:paraId="70249EB7" w14:textId="77777777" w:rsidR="00F11432" w:rsidRDefault="00F11432" w:rsidP="0004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256144"/>
      <w:docPartObj>
        <w:docPartGallery w:val="Page Numbers (Bottom of Page)"/>
        <w:docPartUnique/>
      </w:docPartObj>
    </w:sdtPr>
    <w:sdtEndPr>
      <w:rPr>
        <w:noProof/>
      </w:rPr>
    </w:sdtEndPr>
    <w:sdtContent>
      <w:p w14:paraId="7F59C884" w14:textId="77777777" w:rsidR="00043C8C" w:rsidRDefault="00043C8C">
        <w:pPr>
          <w:pStyle w:val="Footer"/>
          <w:jc w:val="right"/>
        </w:pPr>
        <w:r>
          <w:fldChar w:fldCharType="begin"/>
        </w:r>
        <w:r>
          <w:instrText xml:space="preserve"> PAGE   \* MERGEFORMAT </w:instrText>
        </w:r>
        <w:r>
          <w:fldChar w:fldCharType="separate"/>
        </w:r>
        <w:r w:rsidR="0068278F">
          <w:rPr>
            <w:noProof/>
          </w:rPr>
          <w:t>4</w:t>
        </w:r>
        <w:r>
          <w:rPr>
            <w:noProof/>
          </w:rPr>
          <w:fldChar w:fldCharType="end"/>
        </w:r>
      </w:p>
    </w:sdtContent>
  </w:sdt>
  <w:p w14:paraId="326E794C" w14:textId="77777777" w:rsidR="00043C8C" w:rsidRDefault="00043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2816A" w14:textId="77777777" w:rsidR="00F11432" w:rsidRDefault="00F11432" w:rsidP="00043C8C">
      <w:pPr>
        <w:spacing w:after="0" w:line="240" w:lineRule="auto"/>
      </w:pPr>
      <w:r>
        <w:separator/>
      </w:r>
    </w:p>
  </w:footnote>
  <w:footnote w:type="continuationSeparator" w:id="0">
    <w:p w14:paraId="3D9909DE" w14:textId="77777777" w:rsidR="00F11432" w:rsidRDefault="00F11432" w:rsidP="00043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F7625"/>
    <w:multiLevelType w:val="hybridMultilevel"/>
    <w:tmpl w:val="AB520F6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9D"/>
    <w:rsid w:val="0002709F"/>
    <w:rsid w:val="00043C8C"/>
    <w:rsid w:val="00082C5F"/>
    <w:rsid w:val="000A6A4E"/>
    <w:rsid w:val="00124FD6"/>
    <w:rsid w:val="00125FAF"/>
    <w:rsid w:val="0014157D"/>
    <w:rsid w:val="00221A4F"/>
    <w:rsid w:val="002323FF"/>
    <w:rsid w:val="00287FD8"/>
    <w:rsid w:val="002B22B2"/>
    <w:rsid w:val="003023F2"/>
    <w:rsid w:val="00353FA1"/>
    <w:rsid w:val="003B129D"/>
    <w:rsid w:val="003C7461"/>
    <w:rsid w:val="003D04C2"/>
    <w:rsid w:val="0040480A"/>
    <w:rsid w:val="0068278F"/>
    <w:rsid w:val="006B62EF"/>
    <w:rsid w:val="006C178C"/>
    <w:rsid w:val="007B2E8D"/>
    <w:rsid w:val="007C35E6"/>
    <w:rsid w:val="007C6342"/>
    <w:rsid w:val="008205B0"/>
    <w:rsid w:val="008355DE"/>
    <w:rsid w:val="008405A4"/>
    <w:rsid w:val="00852360"/>
    <w:rsid w:val="00887FF3"/>
    <w:rsid w:val="00892D30"/>
    <w:rsid w:val="008C26ED"/>
    <w:rsid w:val="008C35C6"/>
    <w:rsid w:val="008C4C41"/>
    <w:rsid w:val="008D37E9"/>
    <w:rsid w:val="00940905"/>
    <w:rsid w:val="009738E9"/>
    <w:rsid w:val="009A276C"/>
    <w:rsid w:val="00A4189D"/>
    <w:rsid w:val="00A42888"/>
    <w:rsid w:val="00A63996"/>
    <w:rsid w:val="00B25FC8"/>
    <w:rsid w:val="00BA6B46"/>
    <w:rsid w:val="00BF0CA5"/>
    <w:rsid w:val="00C92598"/>
    <w:rsid w:val="00C95282"/>
    <w:rsid w:val="00D22BFA"/>
    <w:rsid w:val="00D44F44"/>
    <w:rsid w:val="00E42E36"/>
    <w:rsid w:val="00E548A1"/>
    <w:rsid w:val="00EA3AC1"/>
    <w:rsid w:val="00EF3324"/>
    <w:rsid w:val="00EF3C9A"/>
    <w:rsid w:val="00F11432"/>
    <w:rsid w:val="00FB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EAA6"/>
  <w15:chartTrackingRefBased/>
  <w15:docId w15:val="{D39272B7-DA0D-40A8-B364-95A04C7D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29D"/>
    <w:pPr>
      <w:spacing w:after="164" w:line="268" w:lineRule="auto"/>
      <w:ind w:left="687" w:right="1016" w:hanging="10"/>
      <w:jc w:val="both"/>
    </w:pPr>
    <w:rPr>
      <w:rFonts w:ascii="Book Antiqua" w:eastAsia="Book Antiqua" w:hAnsi="Book Antiqua" w:cs="Book Antiqua"/>
      <w:color w:val="000000"/>
      <w:sz w:val="24"/>
    </w:rPr>
  </w:style>
  <w:style w:type="paragraph" w:styleId="Heading2">
    <w:name w:val="heading 2"/>
    <w:next w:val="Normal"/>
    <w:link w:val="Heading2Char"/>
    <w:uiPriority w:val="9"/>
    <w:unhideWhenUsed/>
    <w:qFormat/>
    <w:rsid w:val="003B129D"/>
    <w:pPr>
      <w:keepNext/>
      <w:keepLines/>
      <w:spacing w:after="203"/>
      <w:ind w:left="687" w:hanging="10"/>
      <w:outlineLvl w:val="1"/>
    </w:pPr>
    <w:rPr>
      <w:rFonts w:ascii="Bookman Old Style" w:eastAsia="Bookman Old Style" w:hAnsi="Bookman Old Style" w:cs="Bookman Old Style"/>
      <w:b/>
      <w:color w:val="002060"/>
      <w:sz w:val="28"/>
    </w:rPr>
  </w:style>
  <w:style w:type="paragraph" w:styleId="Heading3">
    <w:name w:val="heading 3"/>
    <w:basedOn w:val="Normal"/>
    <w:next w:val="Normal"/>
    <w:link w:val="Heading3Char"/>
    <w:uiPriority w:val="9"/>
    <w:semiHidden/>
    <w:unhideWhenUsed/>
    <w:qFormat/>
    <w:rsid w:val="00EA3AC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129D"/>
    <w:rPr>
      <w:rFonts w:ascii="Bookman Old Style" w:eastAsia="Bookman Old Style" w:hAnsi="Bookman Old Style" w:cs="Bookman Old Style"/>
      <w:b/>
      <w:color w:val="002060"/>
      <w:sz w:val="28"/>
    </w:rPr>
  </w:style>
  <w:style w:type="paragraph" w:styleId="ListParagraph">
    <w:name w:val="List Paragraph"/>
    <w:basedOn w:val="Normal"/>
    <w:uiPriority w:val="34"/>
    <w:qFormat/>
    <w:rsid w:val="003C7461"/>
    <w:pPr>
      <w:ind w:left="720"/>
      <w:contextualSpacing/>
    </w:pPr>
  </w:style>
  <w:style w:type="character" w:customStyle="1" w:styleId="Heading3Char">
    <w:name w:val="Heading 3 Char"/>
    <w:basedOn w:val="DefaultParagraphFont"/>
    <w:link w:val="Heading3"/>
    <w:uiPriority w:val="9"/>
    <w:semiHidden/>
    <w:rsid w:val="00EA3AC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43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C8C"/>
    <w:rPr>
      <w:rFonts w:ascii="Book Antiqua" w:eastAsia="Book Antiqua" w:hAnsi="Book Antiqua" w:cs="Book Antiqua"/>
      <w:color w:val="000000"/>
      <w:sz w:val="24"/>
    </w:rPr>
  </w:style>
  <w:style w:type="paragraph" w:styleId="Footer">
    <w:name w:val="footer"/>
    <w:basedOn w:val="Normal"/>
    <w:link w:val="FooterChar"/>
    <w:uiPriority w:val="99"/>
    <w:unhideWhenUsed/>
    <w:rsid w:val="00043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C8C"/>
    <w:rPr>
      <w:rFonts w:ascii="Book Antiqua" w:eastAsia="Book Antiqua" w:hAnsi="Book Antiqua" w:cs="Book Antiqu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Nanziri</dc:creator>
  <cp:keywords/>
  <dc:description/>
  <cp:lastModifiedBy>UG Trade Ankara Embassy</cp:lastModifiedBy>
  <cp:revision>4</cp:revision>
  <dcterms:created xsi:type="dcterms:W3CDTF">2024-04-18T12:29:00Z</dcterms:created>
  <dcterms:modified xsi:type="dcterms:W3CDTF">2024-04-18T12:35:00Z</dcterms:modified>
</cp:coreProperties>
</file>